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CC" w:rsidRPr="00EF326A" w:rsidRDefault="00BB43CC" w:rsidP="00BB43CC">
      <w:pPr>
        <w:rPr>
          <w:sz w:val="20"/>
          <w:szCs w:val="20"/>
        </w:rPr>
      </w:pPr>
      <w:r w:rsidRPr="00EF326A">
        <w:drawing>
          <wp:anchor distT="0" distB="0" distL="114300" distR="114300" simplePos="0" relativeHeight="251659264" behindDoc="0" locked="0" layoutInCell="1" allowOverlap="0" wp14:anchorId="4BAD0005" wp14:editId="46E68A5F">
            <wp:simplePos x="0" y="0"/>
            <wp:positionH relativeFrom="margin">
              <wp:posOffset>2510155</wp:posOffset>
            </wp:positionH>
            <wp:positionV relativeFrom="line">
              <wp:posOffset>0</wp:posOffset>
            </wp:positionV>
            <wp:extent cx="552450" cy="711200"/>
            <wp:effectExtent l="0" t="0" r="0" b="0"/>
            <wp:wrapSquare wrapText="bothSides"/>
            <wp:docPr id="1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2" b="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>
      <w:pPr>
        <w:ind w:left="2880" w:firstLine="720"/>
      </w:pPr>
    </w:p>
    <w:p w:rsidR="00BB43CC" w:rsidRPr="00EF326A" w:rsidRDefault="00BB43CC" w:rsidP="00BB43CC">
      <w:pPr>
        <w:ind w:left="2880" w:firstLine="720"/>
      </w:pPr>
    </w:p>
    <w:p w:rsidR="00BB43CC" w:rsidRPr="00EF326A" w:rsidRDefault="00BB43CC" w:rsidP="006C73D6">
      <w:pPr>
        <w:ind w:left="2880" w:firstLine="660"/>
      </w:pPr>
      <w:r w:rsidRPr="00EF326A">
        <w:t>REPUBLIKA HRVATSKA</w:t>
      </w:r>
    </w:p>
    <w:p w:rsidR="00BB43CC" w:rsidRPr="00EF326A" w:rsidRDefault="00BB43CC" w:rsidP="006C73D6">
      <w:pPr>
        <w:ind w:left="2160" w:firstLine="720"/>
      </w:pPr>
      <w:r w:rsidRPr="00EF326A">
        <w:t>MINISTARSTVO TURIZMA</w:t>
      </w:r>
      <w:r>
        <w:t xml:space="preserve"> I SPORTA</w:t>
      </w:r>
    </w:p>
    <w:p w:rsidR="00BB43CC" w:rsidRPr="00EF326A" w:rsidRDefault="006C73D6" w:rsidP="006C73D6">
      <w:pPr>
        <w:ind w:left="2160" w:firstLine="720"/>
      </w:pPr>
      <w:r>
        <w:t xml:space="preserve"> </w:t>
      </w:r>
      <w:r w:rsidR="00BB43CC">
        <w:t>Samostalni sektor sportske inspekcije</w:t>
      </w:r>
    </w:p>
    <w:p w:rsidR="00BB43CC" w:rsidRPr="00EF326A" w:rsidRDefault="00BB43CC" w:rsidP="006C73D6"/>
    <w:p w:rsidR="00BB43CC" w:rsidRPr="00EF326A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Pr="00EF326A" w:rsidRDefault="00BB43CC" w:rsidP="00BB43CC"/>
    <w:p w:rsidR="00BB43CC" w:rsidRPr="00EF326A" w:rsidRDefault="00BB43CC" w:rsidP="00BB43CC"/>
    <w:p w:rsidR="00BB43CC" w:rsidRDefault="00BB43CC" w:rsidP="00BB43CC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Godišnje izvješće o radu </w:t>
      </w:r>
    </w:p>
    <w:p w:rsidR="00BB43CC" w:rsidRDefault="00BB43CC" w:rsidP="00BB43CC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Samostalnog sektora sportske inspekcije </w:t>
      </w:r>
    </w:p>
    <w:p w:rsidR="00BB43CC" w:rsidRPr="00EF326A" w:rsidRDefault="00BB43CC" w:rsidP="00BB43CC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2021. godinu</w:t>
      </w: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Default="00BB43CC" w:rsidP="00BB43CC">
      <w:pPr>
        <w:tabs>
          <w:tab w:val="left" w:pos="5715"/>
        </w:tabs>
      </w:pPr>
    </w:p>
    <w:p w:rsidR="00BB43CC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jc w:val="left"/>
        <w:rPr>
          <w:vanish/>
          <w:specVanish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  <w:r w:rsidRPr="00EF326A">
        <w:rPr>
          <w:b/>
          <w:sz w:val="32"/>
          <w:szCs w:val="32"/>
        </w:rPr>
        <w:t xml:space="preserve"> </w:t>
      </w: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Default="00BB43CC" w:rsidP="00BB43CC">
      <w:pPr>
        <w:spacing w:before="120"/>
      </w:pPr>
    </w:p>
    <w:p w:rsidR="00BB43CC" w:rsidRDefault="00BB43CC" w:rsidP="00BB43CC">
      <w:pPr>
        <w:spacing w:before="120"/>
      </w:pPr>
    </w:p>
    <w:p w:rsidR="00BB43CC" w:rsidRDefault="00BB43CC" w:rsidP="006C73D6">
      <w:pPr>
        <w:spacing w:before="120"/>
      </w:pPr>
      <w:r>
        <w:t>Zakonom o sportskoj inspekciji („Narodne novine“, broj 86/12, 98/19 i 34/21) uređeni su ustroj, poslovi, način rada, prava, dužnosti i ovlasti sportske inspekcije. Prema Zakonu, inspekcija provodi inspekcijski nadzor nad provedbom Zakona o sportu i i temeljem njega donesenih propisa te poduzima mjere i radnje za koje je ovlaštena Zakonom o sportskoj inspekciji.</w:t>
      </w:r>
    </w:p>
    <w:p w:rsidR="00F37EB5" w:rsidRDefault="00F37EB5" w:rsidP="006C73D6">
      <w:pPr>
        <w:spacing w:before="120"/>
      </w:pPr>
    </w:p>
    <w:p w:rsidR="00BB43CC" w:rsidRDefault="00BB43CC" w:rsidP="006C73D6">
      <w:pPr>
        <w:spacing w:before="120"/>
      </w:pPr>
      <w:r>
        <w:t>Temeljem Zakona, inspekcijski nadzor obavljaju sportski inspektor, viši sportski inspektor i glavni sportski inspektor, a sportska inspekcija ustrojava se kao samostalna unutarnja ustrojstvena jedinica tijela državne uprave nadležnog za sport. Ustrojstvenom jedinicom inspekcije rukovodi glavni sportski inspektor.</w:t>
      </w:r>
    </w:p>
    <w:p w:rsidR="00F37EB5" w:rsidRDefault="00F37EB5" w:rsidP="006C73D6">
      <w:pPr>
        <w:spacing w:before="120"/>
      </w:pPr>
    </w:p>
    <w:p w:rsidR="00BB43CC" w:rsidRDefault="00BB43CC" w:rsidP="006C73D6">
      <w:pPr>
        <w:spacing w:before="120"/>
        <w:rPr>
          <w:rFonts w:cs="Calibri"/>
        </w:rPr>
      </w:pPr>
      <w:r>
        <w:t>Sukladno Uredbi o unutarnjem ustrojstvu Ministarstva turizma i sporta („Narodne novine“, broj 97/20) (u daljnjem tekstu: Uredba o unutarnjem ustrojstvu) za obavljanje poslova iz djelokruga Ministarstva ustrojen je Samostalni sektor sportske inspekcije kao ustrojstvena jedinica u sastavu Ministarstva. Djelokrug Samostalnog sektora sportske inspekcije između ostalog obuhvaća obavljanje inspekcijskih poslova koji se odnose na primjenu Zakona o sportu</w:t>
      </w:r>
      <w:r w:rsidR="00F37EB5">
        <w:t xml:space="preserve"> („Narodne novine“, broj: </w:t>
      </w:r>
      <w:r w:rsidR="00F37EB5" w:rsidRPr="001E08BB">
        <w:rPr>
          <w:rFonts w:cs="Arial"/>
        </w:rPr>
        <w:t>71/06, 150/08, 124/1</w:t>
      </w:r>
      <w:r w:rsidR="00F37EB5">
        <w:rPr>
          <w:rFonts w:cs="Arial"/>
        </w:rPr>
        <w:t>0, 124/11, 86/12, 94/13, 85/15,</w:t>
      </w:r>
      <w:r w:rsidR="00F37EB5" w:rsidRPr="001E08BB">
        <w:rPr>
          <w:rFonts w:cs="Arial"/>
        </w:rPr>
        <w:t xml:space="preserve"> 19/16</w:t>
      </w:r>
      <w:r w:rsidR="00F37EB5">
        <w:rPr>
          <w:rFonts w:cs="Arial"/>
        </w:rPr>
        <w:t>, 98/19, 47/20 i 77/20 - uredba</w:t>
      </w:r>
      <w:r w:rsidR="00F37EB5" w:rsidRPr="001E08BB">
        <w:rPr>
          <w:rFonts w:cs="Arial"/>
        </w:rPr>
        <w:t>)</w:t>
      </w:r>
      <w:r>
        <w:t xml:space="preserve"> i drugih propisa kojima je uređeno ustrojstvo, djelokrug i način rada pravnih i fizičkih osoba u sustavu sporta, suradnju s drugim tijelima državne uprave, </w:t>
      </w:r>
      <w:r w:rsidRPr="002F0AEE">
        <w:rPr>
          <w:rFonts w:cs="Calibri"/>
        </w:rPr>
        <w:t>a osobito s inspekcijskim službama</w:t>
      </w:r>
      <w:r>
        <w:t>,</w:t>
      </w:r>
      <w:r w:rsidRPr="002F0AEE">
        <w:t xml:space="preserve"> </w:t>
      </w:r>
      <w:r>
        <w:t>obavljanje drugih upravnih i stručnih poslova koji su posebnim zakonom i drugim propisima stavljeni u djelokrug sportske inspekcije</w:t>
      </w:r>
      <w:r w:rsidRPr="002F0AEE">
        <w:t>,</w:t>
      </w:r>
      <w:r w:rsidRPr="002F0AEE">
        <w:rPr>
          <w:rFonts w:cs="Calibri"/>
        </w:rPr>
        <w:t xml:space="preserve"> da</w:t>
      </w:r>
      <w:r>
        <w:rPr>
          <w:rFonts w:cs="Calibri"/>
        </w:rPr>
        <w:t>vanje</w:t>
      </w:r>
      <w:r w:rsidRPr="002F0AEE">
        <w:rPr>
          <w:rFonts w:cs="Calibri"/>
        </w:rPr>
        <w:t xml:space="preserve"> stručn</w:t>
      </w:r>
      <w:r>
        <w:rPr>
          <w:rFonts w:cs="Calibri"/>
        </w:rPr>
        <w:t>ih</w:t>
      </w:r>
      <w:r w:rsidRPr="002F0AEE">
        <w:rPr>
          <w:rFonts w:cs="Calibri"/>
        </w:rPr>
        <w:t xml:space="preserve"> mišljenja u okviru svoga djelokruga na dostavljene nacrte prijedloga zakona i prijedloge drugih propisa i akata i dr.</w:t>
      </w:r>
    </w:p>
    <w:p w:rsidR="00BB43CC" w:rsidRPr="002F0AEE" w:rsidRDefault="00BB43CC" w:rsidP="006C73D6">
      <w:pPr>
        <w:spacing w:before="120"/>
      </w:pPr>
    </w:p>
    <w:p w:rsidR="00BB43CC" w:rsidRDefault="00BB43CC" w:rsidP="006C73D6">
      <w:r>
        <w:t>Unutar Samostalnog sektora sportske inspekcije ustrojene su</w:t>
      </w:r>
      <w:r w:rsidR="00F941C5">
        <w:t>:</w:t>
      </w:r>
      <w:r>
        <w:t xml:space="preserve"> </w:t>
      </w:r>
    </w:p>
    <w:p w:rsidR="006C73D6" w:rsidRDefault="006C73D6" w:rsidP="006C73D6"/>
    <w:p w:rsidR="00BB43CC" w:rsidRDefault="00BB43CC" w:rsidP="006C73D6">
      <w:pPr>
        <w:pStyle w:val="ListParagraph"/>
        <w:numPr>
          <w:ilvl w:val="0"/>
          <w:numId w:val="2"/>
        </w:numPr>
      </w:pPr>
      <w:r>
        <w:t xml:space="preserve">Služba inspekcijskog nadzora I. </w:t>
      </w:r>
    </w:p>
    <w:p w:rsidR="00BB43CC" w:rsidRDefault="00BB43CC" w:rsidP="006C73D6">
      <w:pPr>
        <w:pStyle w:val="ListParagraph"/>
        <w:numPr>
          <w:ilvl w:val="0"/>
          <w:numId w:val="2"/>
        </w:numPr>
      </w:pPr>
      <w:r>
        <w:t xml:space="preserve">Služba inspekcijskog nadzora II. </w:t>
      </w:r>
    </w:p>
    <w:p w:rsidR="00BB43CC" w:rsidRDefault="00BB43CC" w:rsidP="006C73D6"/>
    <w:p w:rsidR="00BB43CC" w:rsidRDefault="00BB43CC" w:rsidP="006C73D6">
      <w:pPr>
        <w:rPr>
          <w:rFonts w:cs="Calibri"/>
        </w:rPr>
      </w:pPr>
      <w:r>
        <w:t xml:space="preserve">Služba inspekcijskog nadzora I. </w:t>
      </w:r>
      <w:r w:rsidRPr="00A26E3D">
        <w:rPr>
          <w:rFonts w:cs="Calibri"/>
        </w:rPr>
        <w:t>obavlja poslove iz djelokruga Sektora na području Grada Zagreba, Primorsko-goranske županije, Istarske županije, Karlovačke županije, Ličko-senjske županije, Zadarske županije, Šibensko-kninske županije, Splitsko-dalmatinske županije i Dubrovačko-neretvanske županije.</w:t>
      </w:r>
    </w:p>
    <w:p w:rsidR="00BB43CC" w:rsidRDefault="00BB43CC" w:rsidP="006C73D6">
      <w:pPr>
        <w:rPr>
          <w:rFonts w:cs="Calibri"/>
        </w:rPr>
      </w:pPr>
    </w:p>
    <w:p w:rsidR="00BB43CC" w:rsidRPr="008C2566" w:rsidRDefault="00BB43CC" w:rsidP="006C73D6">
      <w:r w:rsidRPr="00A26E3D">
        <w:rPr>
          <w:rFonts w:cs="Calibri"/>
        </w:rPr>
        <w:t>Sportski inspektori u sjedištu obavljaju poslove iz djelokruga Službe inspekcijskog nadzora I. na području Grada Zagreba.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Za obavljanje poslova iz djelokruga Službe inspekcijskog nadzora I. izvan sjedišta, određuju se:</w:t>
      </w:r>
    </w:p>
    <w:p w:rsidR="00BB43CC" w:rsidRPr="00A26E3D" w:rsidRDefault="00BB43CC" w:rsidP="006C73D6">
      <w:pPr>
        <w:pStyle w:val="box465249"/>
        <w:spacing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Rijeci za područje Primorsko-goranske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lastRenderedPageBreak/>
        <w:t>– samostalni izvršitelj u Rovinju za područje Istarske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 xml:space="preserve">– samostalni izvršitelj u Karlovcu za područja Karlovačke </w:t>
      </w:r>
      <w:r w:rsidR="00BE1EE0">
        <w:rPr>
          <w:rFonts w:ascii="Arial Narrow" w:hAnsi="Arial Narrow" w:cs="Calibri"/>
        </w:rPr>
        <w:t xml:space="preserve">županije </w:t>
      </w:r>
      <w:r w:rsidRPr="00A26E3D">
        <w:rPr>
          <w:rFonts w:ascii="Arial Narrow" w:hAnsi="Arial Narrow" w:cs="Calibri"/>
        </w:rPr>
        <w:t>i Ličko-senjske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Šibeniku za područje Zadarske županije i Šibensko-kninske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izvršitelji u Splitu za područje Splitsko-dalmatinske županije i Dubrovačko-neretvanske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Sportski inspektori raspoređeni na radno mjesto u Službi inspekcijskog nadzora I. prema potrebi mogu obavljati inspekcijske poslove iz djelokruga Službe i na području druge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Služba inspekcijskog nadzora II. obavlja poslove iz djelokruga Sektora na području Zagrebačke županije, Krapinsko-zagorske županije, Sisačko-moslavačke županije, Varaždinske županije, Međimurske županije, Bjelovarsko-bilogorske županije, Koprivničko-križevačke županije, Brodsko-posavske županije, Požeško-slavonske županije, Virovitičko-podravske županije, Osječko-baranjske županije i Vukovarsko-srijemske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Sportski inspektori u sjedištu obavljaju poslove iz djelokruga Službe inspekcijskog nadzora II. na području Krapinsko-zagorske županije i Sisačko-moslavačke županije.</w:t>
      </w:r>
    </w:p>
    <w:p w:rsidR="00BB43CC" w:rsidRPr="00352A3F" w:rsidRDefault="00BB43CC" w:rsidP="006C73D6">
      <w:pPr>
        <w:pStyle w:val="box465249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Za obavljanje poslova iz djelokruga Službe inspekcijskog nadzora II. izvan sjedišta, određuju se: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Jastrebarskom za područje Zagrebačke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Varaždinu za područje Varaždinske županije i Međimurske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Bjelovaru za područja Bjelovarsko-bilogorske županije i Koprivničko-križevačke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Slavonskom Brodu za područje Brodsko--posavske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Požegi za područja Požeško-slavonske županije i Virovitičko-podravske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izvršitelji u Osijeku za područje Osječko-baranjske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Vukovaru za područje Vukovarsko-srijemske županije.</w:t>
      </w:r>
    </w:p>
    <w:p w:rsidR="00BB43CC" w:rsidRDefault="00BB43CC" w:rsidP="006C73D6">
      <w:pPr>
        <w:pStyle w:val="box465249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Sportski inspektori raspoređeni na radno mjesto u Službi inspekcijskog nadzora II. prema potrebi mogu obavljati inspekcijske poslove iz djelokruga Službe i na području druge županije.</w:t>
      </w:r>
    </w:p>
    <w:p w:rsidR="00F941C5" w:rsidRPr="00352A3F" w:rsidRDefault="00F941C5" w:rsidP="00BB43CC">
      <w:pPr>
        <w:pStyle w:val="box465249"/>
        <w:rPr>
          <w:rFonts w:ascii="Arial Narrow" w:hAnsi="Arial Narrow"/>
        </w:rPr>
      </w:pPr>
    </w:p>
    <w:p w:rsidR="00BB43CC" w:rsidRDefault="00BB43CC" w:rsidP="00BB43CC">
      <w:pPr>
        <w:spacing w:after="120"/>
      </w:pPr>
    </w:p>
    <w:tbl>
      <w:tblPr>
        <w:tblW w:w="7461" w:type="dxa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250"/>
        <w:gridCol w:w="706"/>
      </w:tblGrid>
      <w:tr w:rsidR="00BB43CC" w:rsidRPr="00050379" w:rsidTr="00925991">
        <w:trPr>
          <w:trHeight w:val="23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494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9"/>
              <w:gridCol w:w="100"/>
            </w:tblGrid>
            <w:tr w:rsidR="00BB43CC" w:rsidRPr="00050379" w:rsidTr="009259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43CC" w:rsidRPr="00011148" w:rsidRDefault="00BB43CC" w:rsidP="00925991">
                  <w:pPr>
                    <w:jc w:val="left"/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</w:pPr>
                  <w:r w:rsidRPr="00050379"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  <w:t>SAMOSTALNI SEKTOR SPORTSKE INSPEKCIJE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C" w:rsidRPr="00011148" w:rsidRDefault="00BB43CC" w:rsidP="00925991">
                  <w:pPr>
                    <w:jc w:val="left"/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</w:pPr>
                </w:p>
              </w:tc>
            </w:tr>
          </w:tbl>
          <w:p w:rsidR="00BB43CC" w:rsidRPr="00050379" w:rsidRDefault="00BB43CC" w:rsidP="00925991">
            <w:pPr>
              <w:spacing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8.1.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Služba inspekcijskog nadzora I.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neposredno u Službi, u sjedištu Ministarstva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24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Rijeci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Rovinju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Karlovcu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5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Šibeniku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izvršitelji u Splitu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8.2.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Služba inspekcijskog nadzora II.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neposredno u Službi, u sjedištu Ministarstva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6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Jastrebarskom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Varaždinu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2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Bjelovaru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5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Slavonskom Brodu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Požegi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izvršitelji u Osijeku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</w:tr>
      <w:tr w:rsidR="00BB43CC" w:rsidRPr="00050379" w:rsidTr="00925991">
        <w:trPr>
          <w:trHeight w:val="17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Vukovaru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7"/>
          <w:tblCellSpacing w:w="15" w:type="dxa"/>
        </w:trPr>
        <w:tc>
          <w:tcPr>
            <w:tcW w:w="67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UKUPNO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18</w:t>
            </w:r>
          </w:p>
        </w:tc>
      </w:tr>
    </w:tbl>
    <w:p w:rsidR="00BB43CC" w:rsidRDefault="00BB43CC" w:rsidP="00BB43CC">
      <w:pPr>
        <w:spacing w:before="120"/>
        <w:jc w:val="left"/>
        <w:rPr>
          <w:b/>
          <w:u w:val="single"/>
        </w:rPr>
      </w:pPr>
    </w:p>
    <w:p w:rsidR="00BB43CC" w:rsidRPr="00F941C5" w:rsidRDefault="00B45FA2" w:rsidP="00BB43CC">
      <w:pPr>
        <w:spacing w:before="120"/>
        <w:jc w:val="left"/>
      </w:pPr>
      <w:r w:rsidRPr="00F941C5">
        <w:t>Prema podacima Registra udruga Republike Hrvatske na području Republike Hrvatske registrirano  je i djeluje 11.285  sportskih udruga</w:t>
      </w:r>
      <w:r w:rsidR="00F941C5" w:rsidRPr="00F941C5">
        <w:t>.</w:t>
      </w: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B45FA2" w:rsidRDefault="00B45FA2" w:rsidP="00BB43CC">
      <w:pPr>
        <w:spacing w:before="120"/>
        <w:jc w:val="left"/>
        <w:rPr>
          <w:b/>
          <w:u w:val="single"/>
        </w:rPr>
      </w:pPr>
      <w:r>
        <w:drawing>
          <wp:inline distT="0" distB="0" distL="0" distR="0" wp14:anchorId="664B5EBF" wp14:editId="747EBE2B">
            <wp:extent cx="5760720" cy="2972840"/>
            <wp:effectExtent l="0" t="0" r="0" b="0"/>
            <wp:docPr id="2" name="Picture 2" descr="cid:image001.png@01D4D047.2719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4D047.2719E1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CC" w:rsidRDefault="00BB43CC" w:rsidP="00BB43CC">
      <w:pPr>
        <w:spacing w:before="120"/>
        <w:jc w:val="left"/>
        <w:rPr>
          <w:b/>
          <w:u w:val="single"/>
        </w:rPr>
      </w:pPr>
    </w:p>
    <w:p w:rsidR="00FC6B53" w:rsidRDefault="00FC6B53" w:rsidP="006C73D6"/>
    <w:p w:rsidR="00FC6B53" w:rsidRDefault="00FC6B53" w:rsidP="006C73D6"/>
    <w:p w:rsidR="00BB43CC" w:rsidRDefault="00BB43CC" w:rsidP="006C73D6">
      <w:r w:rsidRPr="00F941C5">
        <w:t xml:space="preserve">Sportski inspektori Samostalnog sektora sportske inspekcije obavili su u izvještajnom razdoblju 814 inspekcijskih nadzora nad primjenom odredbi Zakona o sportu </w:t>
      </w:r>
      <w:r w:rsidR="006C73D6">
        <w:rPr>
          <w:rFonts w:cs="Arial"/>
        </w:rPr>
        <w:t xml:space="preserve"> </w:t>
      </w:r>
      <w:r w:rsidRPr="00F941C5">
        <w:t>i temeljem njega donesenih propisa u pravnim i fizičkim osobama u sustavu sporta.</w:t>
      </w:r>
    </w:p>
    <w:p w:rsidR="006C73D6" w:rsidRPr="00F941C5" w:rsidRDefault="006C73D6" w:rsidP="006C73D6"/>
    <w:p w:rsidR="005A5CFD" w:rsidRDefault="00BB43CC" w:rsidP="006C73D6">
      <w:r w:rsidRPr="00F941C5">
        <w:t>Obavljenim nadzorima utvrđeno je 483</w:t>
      </w:r>
      <w:r w:rsidRPr="00F941C5">
        <w:rPr>
          <w:color w:val="FF0000"/>
        </w:rPr>
        <w:t xml:space="preserve"> </w:t>
      </w:r>
      <w:r w:rsidRPr="00F941C5">
        <w:t>nepravilnosti temeljem kojih je izdano 329</w:t>
      </w:r>
      <w:r w:rsidR="00F941C5">
        <w:t xml:space="preserve"> rješenja, a u 139 predmeta obavljen je kontrolni inspekcijski nadzor, odnosno kontrola izvršenja rješenja.</w:t>
      </w:r>
      <w:r w:rsidR="005A5CFD">
        <w:t xml:space="preserve"> </w:t>
      </w:r>
    </w:p>
    <w:p w:rsidR="00FC6B53" w:rsidRDefault="00FC6B53" w:rsidP="006C73D6"/>
    <w:p w:rsidR="00EB0085" w:rsidRDefault="00EB0085" w:rsidP="006C73D6"/>
    <w:tbl>
      <w:tblPr>
        <w:tblW w:w="9214" w:type="dxa"/>
        <w:tblLook w:val="04A0" w:firstRow="1" w:lastRow="0" w:firstColumn="1" w:lastColumn="0" w:noHBand="0" w:noVBand="1"/>
      </w:tblPr>
      <w:tblGrid>
        <w:gridCol w:w="1235"/>
        <w:gridCol w:w="874"/>
        <w:gridCol w:w="946"/>
        <w:gridCol w:w="664"/>
        <w:gridCol w:w="780"/>
        <w:gridCol w:w="801"/>
        <w:gridCol w:w="715"/>
        <w:gridCol w:w="722"/>
        <w:gridCol w:w="765"/>
        <w:gridCol w:w="722"/>
        <w:gridCol w:w="773"/>
        <w:gridCol w:w="729"/>
      </w:tblGrid>
      <w:tr w:rsidR="00B4449A" w:rsidRPr="00B4449A" w:rsidTr="00B4449A">
        <w:trPr>
          <w:trHeight w:val="557"/>
        </w:trPr>
        <w:tc>
          <w:tcPr>
            <w:tcW w:w="9214" w:type="dxa"/>
            <w:gridSpan w:val="1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4449A" w:rsidRPr="00B4449A" w:rsidRDefault="00593204" w:rsidP="0059320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SAMOSTALNI</w:t>
            </w:r>
            <w:r w:rsidR="00B4449A"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SEKTOR</w:t>
            </w:r>
            <w:r w:rsidR="00B4449A"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 xml:space="preserve"> SPORTSKE INSPEKCIJE 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U</w:t>
            </w:r>
            <w:r w:rsidR="00B4449A"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 xml:space="preserve"> 2021. </w:t>
            </w:r>
          </w:p>
        </w:tc>
      </w:tr>
      <w:tr w:rsidR="00B4449A" w:rsidRPr="00B4449A" w:rsidTr="00FC6B53">
        <w:trPr>
          <w:trHeight w:val="687"/>
        </w:trPr>
        <w:tc>
          <w:tcPr>
            <w:tcW w:w="1141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 xml:space="preserve">Obavljeni inspekcijski nadzori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Utvrđene nepravilnosti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Izdana rješenja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Podneseni optužni prijedlozi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Izdani prekršajni nalozi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Prijave po čl.17.ZSI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Kontrola izvršenja rješenja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Izjavljene žalbe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Usvojene žalbe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Odbačene žalbe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color w:val="000000"/>
                <w:sz w:val="13"/>
                <w:szCs w:val="13"/>
              </w:rPr>
              <w:t>Odbijene žalbe</w:t>
            </w:r>
          </w:p>
        </w:tc>
      </w:tr>
      <w:tr w:rsidR="00B4449A" w:rsidRPr="00B4449A" w:rsidTr="00FC6B53">
        <w:trPr>
          <w:trHeight w:val="697"/>
        </w:trPr>
        <w:tc>
          <w:tcPr>
            <w:tcW w:w="1141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SLUŽBA INSPEKCIJSKOG NADZORA I.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321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5</w:t>
            </w:r>
          </w:p>
        </w:tc>
      </w:tr>
      <w:tr w:rsidR="00B4449A" w:rsidRPr="00B4449A" w:rsidTr="00FC6B53">
        <w:trPr>
          <w:trHeight w:val="538"/>
        </w:trPr>
        <w:tc>
          <w:tcPr>
            <w:tcW w:w="1141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SLUŽBA INSPEKCIJSKOG NADZORA II.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162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143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noProof w:val="0"/>
                <w:color w:val="000000"/>
                <w:sz w:val="13"/>
                <w:szCs w:val="13"/>
              </w:rPr>
              <w:t>3</w:t>
            </w:r>
          </w:p>
        </w:tc>
      </w:tr>
      <w:tr w:rsidR="00B4449A" w:rsidRPr="00B4449A" w:rsidTr="00FC6B53">
        <w:trPr>
          <w:trHeight w:val="545"/>
        </w:trPr>
        <w:tc>
          <w:tcPr>
            <w:tcW w:w="1141" w:type="dxa"/>
            <w:tcBorders>
              <w:top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noProof w:val="0"/>
                <w:color w:val="000000"/>
                <w:sz w:val="13"/>
                <w:szCs w:val="13"/>
              </w:rPr>
              <w:t>UKUPNO</w:t>
            </w:r>
          </w:p>
        </w:tc>
        <w:tc>
          <w:tcPr>
            <w:tcW w:w="814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814</w:t>
            </w:r>
          </w:p>
        </w:tc>
        <w:tc>
          <w:tcPr>
            <w:tcW w:w="879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483</w:t>
            </w:r>
          </w:p>
        </w:tc>
        <w:tc>
          <w:tcPr>
            <w:tcW w:w="623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329</w:t>
            </w:r>
          </w:p>
        </w:tc>
        <w:tc>
          <w:tcPr>
            <w:tcW w:w="728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noProof w:val="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noProof w:val="0"/>
                <w:sz w:val="13"/>
                <w:szCs w:val="13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715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sz w:val="13"/>
                <w:szCs w:val="13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sz w:val="13"/>
                <w:szCs w:val="13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</w:tcBorders>
            <w:shd w:val="clear" w:color="000000" w:fill="E9EAF1"/>
            <w:vAlign w:val="center"/>
            <w:hideMark/>
          </w:tcPr>
          <w:p w:rsidR="00B4449A" w:rsidRPr="00B4449A" w:rsidRDefault="00B4449A" w:rsidP="00B44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</w:pPr>
            <w:r w:rsidRPr="00B4449A">
              <w:rPr>
                <w:rFonts w:ascii="Times New Roman" w:hAnsi="Times New Roman"/>
                <w:b/>
                <w:bCs/>
                <w:i/>
                <w:iCs/>
                <w:noProof w:val="0"/>
                <w:color w:val="000000"/>
                <w:sz w:val="13"/>
                <w:szCs w:val="13"/>
              </w:rPr>
              <w:t>8</w:t>
            </w:r>
          </w:p>
        </w:tc>
      </w:tr>
    </w:tbl>
    <w:p w:rsidR="00BB43CC" w:rsidRDefault="00BB43CC" w:rsidP="006C73D6">
      <w:pPr>
        <w:spacing w:before="120"/>
        <w:rPr>
          <w:b/>
          <w:u w:val="single"/>
        </w:rPr>
      </w:pPr>
    </w:p>
    <w:p w:rsidR="00B45FA2" w:rsidRDefault="00B45FA2" w:rsidP="00B45FA2"/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EB0085" w:rsidRDefault="00EB0085" w:rsidP="00EB0085">
      <w:r>
        <w:t>Većina nadzorom utvrđenih nepravilnosti u sportskim udrugama odnosi se na donošenje odluka i drugih pojedinačnih akata koje nisu u skladu sa općim aktima i Zakonom o sportu, postojanje zapreka  za obavljanje poslova u sportu utvrđenih člankom 13., člankom 27., člankom 46. i člankom 47. Zakona o sportu, obavljanje sportske djelatnosti suprotno propisanim tehničkim i zdravstvenim uvjetima,</w:t>
      </w:r>
      <w:r w:rsidR="00F91BB7">
        <w:t xml:space="preserve"> neispunjavanje uvjeta za obavljanje stručnih poslova u sportu</w:t>
      </w:r>
      <w:r w:rsidR="00FC6B53">
        <w:t xml:space="preserve"> propisanih člankom 9. Zakona o sportu</w:t>
      </w:r>
      <w:bookmarkStart w:id="0" w:name="_GoBack"/>
      <w:bookmarkEnd w:id="0"/>
      <w:r w:rsidR="00F91BB7">
        <w:t xml:space="preserve"> te sudjelovanje u sportskom natjecanju osoba koje nemaju utvrđenu zdravstvenu sposobnost u skladu s odredbama članka 71. Zakona o sportu.</w:t>
      </w:r>
    </w:p>
    <w:p w:rsidR="00EB0085" w:rsidRDefault="00EB0085" w:rsidP="00BB43CC">
      <w:pPr>
        <w:spacing w:before="120"/>
        <w:jc w:val="left"/>
        <w:rPr>
          <w:b/>
          <w:u w:val="single"/>
        </w:rPr>
      </w:pPr>
    </w:p>
    <w:p w:rsidR="005A5CFD" w:rsidRPr="00F941C5" w:rsidRDefault="005A5CFD" w:rsidP="005A5CFD">
      <w:r w:rsidRPr="00F941C5">
        <w:t>Sukladno kaznenim, odnosno prekršajnim odredbama Zakona o sportu i Zakona o sportskoj inspekciji sportski inspektori podnijeli su 12 optužnih prijedloga.</w:t>
      </w:r>
    </w:p>
    <w:p w:rsidR="005A5CFD" w:rsidRPr="00F941C5" w:rsidRDefault="005A5CFD" w:rsidP="005A5CFD">
      <w:r w:rsidRPr="00F941C5">
        <w:t xml:space="preserve"> </w:t>
      </w:r>
    </w:p>
    <w:p w:rsidR="005A5CFD" w:rsidRDefault="005A5CFD" w:rsidP="005A5CFD">
      <w:r w:rsidRPr="00F941C5">
        <w:t>U skladu s odredbama članka 17. Zakona o sportskoj inspekciji sportski inspektori su o uočenim povredama propisa nad čijom primjenom nadzor obavlja druga inspekcija odnosno drugo tijelo državne uprave obavijestili nadležne u 39 slučajeva.</w:t>
      </w:r>
    </w:p>
    <w:p w:rsidR="005A5CFD" w:rsidRPr="00F941C5" w:rsidRDefault="005A5CFD" w:rsidP="005A5CFD"/>
    <w:p w:rsidR="005A5CFD" w:rsidRDefault="005A5CFD" w:rsidP="00BB43CC">
      <w:pPr>
        <w:spacing w:before="120"/>
        <w:jc w:val="left"/>
        <w:rPr>
          <w:b/>
          <w:u w:val="single"/>
        </w:rPr>
      </w:pP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BB43CC" w:rsidRDefault="00BB43CC" w:rsidP="00BB43CC">
      <w:pPr>
        <w:spacing w:before="120"/>
        <w:jc w:val="left"/>
        <w:rPr>
          <w:b/>
          <w:u w:val="single"/>
        </w:rPr>
      </w:pPr>
    </w:p>
    <w:p w:rsidR="00BB43CC" w:rsidRDefault="00BB43CC" w:rsidP="00BB43CC">
      <w:pPr>
        <w:spacing w:before="120"/>
        <w:jc w:val="left"/>
        <w:rPr>
          <w:b/>
          <w:u w:val="single"/>
        </w:rPr>
      </w:pPr>
    </w:p>
    <w:sectPr w:rsidR="00B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B5"/>
    <w:multiLevelType w:val="hybridMultilevel"/>
    <w:tmpl w:val="3A9E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DA4"/>
    <w:multiLevelType w:val="multilevel"/>
    <w:tmpl w:val="440C103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C"/>
    <w:rsid w:val="0010037B"/>
    <w:rsid w:val="00593204"/>
    <w:rsid w:val="005A5CFD"/>
    <w:rsid w:val="006C73D6"/>
    <w:rsid w:val="00B4449A"/>
    <w:rsid w:val="00B45FA2"/>
    <w:rsid w:val="00BB43CC"/>
    <w:rsid w:val="00BE1EE0"/>
    <w:rsid w:val="00EB0085"/>
    <w:rsid w:val="00EF634C"/>
    <w:rsid w:val="00F37EB5"/>
    <w:rsid w:val="00F91BB7"/>
    <w:rsid w:val="00F941C5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A7A5"/>
  <w15:chartTrackingRefBased/>
  <w15:docId w15:val="{EDBA65BA-651C-461D-937A-5228AB7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CC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3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3C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B4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43CC"/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BB43CC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B43CC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BB43CC"/>
    <w:rPr>
      <w:rFonts w:ascii="Arial Narrow" w:eastAsia="Times New Roman" w:hAnsi="Arial Narrow" w:cs="Times New Roman"/>
      <w:b/>
      <w:bCs/>
      <w:noProof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BB43CC"/>
    <w:rPr>
      <w:rFonts w:ascii="Arial Narrow" w:eastAsia="Times New Roman" w:hAnsi="Arial Narrow" w:cs="Times New Roman"/>
      <w:b/>
      <w:bCs/>
      <w:i/>
      <w:iCs/>
      <w:noProof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BB43CC"/>
    <w:rPr>
      <w:rFonts w:ascii="Arial Narrow" w:eastAsia="Times New Roman" w:hAnsi="Arial Narrow" w:cs="Times New Roman"/>
      <w:b/>
      <w:bCs/>
      <w:noProof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BB43CC"/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BB43CC"/>
    <w:rPr>
      <w:rFonts w:ascii="Arial Narrow" w:eastAsia="Times New Roman" w:hAnsi="Arial Narrow" w:cs="Times New Roman"/>
      <w:i/>
      <w:iCs/>
      <w:noProof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rsid w:val="00BB43CC"/>
    <w:rPr>
      <w:rFonts w:ascii="Arial" w:eastAsia="Times New Roman" w:hAnsi="Arial" w:cs="Arial"/>
      <w:noProof/>
      <w:lang w:eastAsia="hr-HR"/>
    </w:rPr>
  </w:style>
  <w:style w:type="paragraph" w:customStyle="1" w:styleId="Default">
    <w:name w:val="Default"/>
    <w:rsid w:val="00BB4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43CC"/>
    <w:pPr>
      <w:ind w:left="720"/>
      <w:contextualSpacing/>
    </w:pPr>
  </w:style>
  <w:style w:type="paragraph" w:customStyle="1" w:styleId="box465249">
    <w:name w:val="box_465249"/>
    <w:basedOn w:val="Normal"/>
    <w:rsid w:val="00BB43CC"/>
    <w:pPr>
      <w:spacing w:before="100" w:beforeAutospacing="1" w:after="225"/>
      <w:jc w:val="left"/>
    </w:pPr>
    <w:rPr>
      <w:rFonts w:ascii="Times New Roman" w:hAnsi="Times New Roman"/>
      <w:noProof w:val="0"/>
    </w:rPr>
  </w:style>
  <w:style w:type="table" w:styleId="TableGrid">
    <w:name w:val="Table Grid"/>
    <w:basedOn w:val="TableNormal"/>
    <w:uiPriority w:val="39"/>
    <w:rsid w:val="00B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047.2719E1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07A0-F7EF-4ADD-AF68-F286F4E4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Miloš Lončar</dc:creator>
  <cp:keywords/>
  <dc:description/>
  <cp:lastModifiedBy>Klaudia Miloš Lončar</cp:lastModifiedBy>
  <cp:revision>2</cp:revision>
  <dcterms:created xsi:type="dcterms:W3CDTF">2022-01-28T14:42:00Z</dcterms:created>
  <dcterms:modified xsi:type="dcterms:W3CDTF">2022-01-28T14:42:00Z</dcterms:modified>
</cp:coreProperties>
</file>